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055" w:rsidRDefault="00F94D31">
      <w:pPr>
        <w:pStyle w:val="Standard"/>
        <w:jc w:val="center"/>
        <w:rPr>
          <w:rFonts w:ascii="標楷體" w:eastAsia="標楷體" w:hAnsi="標楷體"/>
          <w:sz w:val="40"/>
          <w:szCs w:val="28"/>
        </w:rPr>
      </w:pPr>
      <w:bookmarkStart w:id="0" w:name="_GoBack"/>
      <w:bookmarkEnd w:id="0"/>
      <w:r>
        <w:rPr>
          <w:rFonts w:ascii="標楷體" w:eastAsia="標楷體" w:hAnsi="標楷體"/>
          <w:color w:val="000000"/>
          <w:sz w:val="40"/>
          <w:szCs w:val="40"/>
        </w:rPr>
        <w:t>教育部設置學術獎辦法第六條</w:t>
      </w:r>
      <w:r>
        <w:rPr>
          <w:rFonts w:ascii="標楷體" w:eastAsia="標楷體" w:hAnsi="標楷體"/>
          <w:sz w:val="40"/>
          <w:szCs w:val="28"/>
        </w:rPr>
        <w:t>條文勘誤表</w:t>
      </w:r>
    </w:p>
    <w:tbl>
      <w:tblPr>
        <w:tblW w:w="8789" w:type="dxa"/>
        <w:tblInd w:w="-5" w:type="dxa"/>
        <w:tblLayout w:type="fixed"/>
        <w:tblCellMar>
          <w:left w:w="10" w:type="dxa"/>
          <w:right w:w="10" w:type="dxa"/>
        </w:tblCellMar>
        <w:tblLook w:val="0000" w:firstRow="0" w:lastRow="0" w:firstColumn="0" w:lastColumn="0" w:noHBand="0" w:noVBand="0"/>
      </w:tblPr>
      <w:tblGrid>
        <w:gridCol w:w="4394"/>
        <w:gridCol w:w="4395"/>
      </w:tblGrid>
      <w:tr w:rsidR="00DD2055">
        <w:tblPrEx>
          <w:tblCellMar>
            <w:top w:w="0" w:type="dxa"/>
            <w:bottom w:w="0" w:type="dxa"/>
          </w:tblCellMar>
        </w:tblPrEx>
        <w:trPr>
          <w:trHeight w:val="70"/>
        </w:trPr>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2055" w:rsidRDefault="00F94D31">
            <w:pPr>
              <w:pStyle w:val="Standard"/>
              <w:jc w:val="center"/>
              <w:rPr>
                <w:rFonts w:ascii="標楷體" w:eastAsia="標楷體" w:hAnsi="標楷體" w:cs="Times New Roman"/>
                <w:sz w:val="28"/>
                <w:szCs w:val="24"/>
              </w:rPr>
            </w:pPr>
            <w:r>
              <w:rPr>
                <w:rFonts w:ascii="標楷體" w:eastAsia="標楷體" w:hAnsi="標楷體" w:cs="Times New Roman"/>
                <w:sz w:val="28"/>
                <w:szCs w:val="24"/>
              </w:rPr>
              <w:t>更正後文字</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2055" w:rsidRDefault="00F94D31">
            <w:pPr>
              <w:pStyle w:val="Standard"/>
              <w:jc w:val="center"/>
              <w:rPr>
                <w:rFonts w:ascii="標楷體" w:eastAsia="標楷體" w:hAnsi="標楷體" w:cs="Times New Roman"/>
                <w:sz w:val="28"/>
                <w:szCs w:val="24"/>
              </w:rPr>
            </w:pPr>
            <w:r>
              <w:rPr>
                <w:rFonts w:ascii="標楷體" w:eastAsia="標楷體" w:hAnsi="標楷體" w:cs="Times New Roman"/>
                <w:sz w:val="28"/>
                <w:szCs w:val="24"/>
              </w:rPr>
              <w:t>原列文字</w:t>
            </w:r>
          </w:p>
        </w:tc>
      </w:tr>
      <w:tr w:rsidR="00DD2055">
        <w:tblPrEx>
          <w:tblCellMar>
            <w:top w:w="0" w:type="dxa"/>
            <w:bottom w:w="0" w:type="dxa"/>
          </w:tblCellMar>
        </w:tblPrEx>
        <w:trPr>
          <w:trHeight w:val="2481"/>
        </w:trPr>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2055" w:rsidRDefault="00F94D31">
            <w:pPr>
              <w:pStyle w:val="Standard"/>
              <w:spacing w:line="460" w:lineRule="exact"/>
              <w:ind w:left="210" w:hanging="315"/>
              <w:jc w:val="both"/>
              <w:rPr>
                <w:rFonts w:ascii="標楷體" w:eastAsia="標楷體" w:hAnsi="標楷體"/>
                <w:sz w:val="28"/>
              </w:rPr>
            </w:pPr>
            <w:r>
              <w:rPr>
                <w:rFonts w:ascii="標楷體" w:eastAsia="標楷體" w:hAnsi="標楷體"/>
                <w:sz w:val="28"/>
              </w:rPr>
              <w:t xml:space="preserve">第六條　</w:t>
            </w:r>
            <w:r>
              <w:rPr>
                <w:rFonts w:ascii="標楷體" w:eastAsia="標楷體" w:hAnsi="標楷體"/>
                <w:color w:val="000000"/>
                <w:sz w:val="28"/>
              </w:rPr>
              <w:t>本部遴選學術獎得獎人之程序如下：</w:t>
            </w:r>
          </w:p>
          <w:p w:rsidR="00DD2055" w:rsidRDefault="00F94D31">
            <w:pPr>
              <w:pStyle w:val="Standard"/>
              <w:spacing w:line="276" w:lineRule="auto"/>
              <w:ind w:left="737" w:hanging="624"/>
              <w:jc w:val="both"/>
              <w:rPr>
                <w:rFonts w:ascii="標楷體" w:eastAsia="標楷體" w:hAnsi="標楷體"/>
                <w:color w:val="000000"/>
                <w:sz w:val="28"/>
                <w:szCs w:val="28"/>
              </w:rPr>
            </w:pPr>
            <w:r>
              <w:rPr>
                <w:rFonts w:ascii="標楷體" w:eastAsia="標楷體" w:hAnsi="標楷體"/>
                <w:color w:val="000000"/>
                <w:sz w:val="28"/>
                <w:szCs w:val="28"/>
              </w:rPr>
              <w:t>一、依學術領域設置人文及藝術、社會科學、數學及自然科學、生物及醫農科學、工程及應用科學五類科，分別組成審議小組，聘請聲望卓著之學者、專家九人至十一人擔任委員，並由本部學術審議會（以下簡稱學審會）之工作小組指定召集人。</w:t>
            </w:r>
          </w:p>
          <w:p w:rsidR="00DD2055" w:rsidRDefault="00F94D31">
            <w:pPr>
              <w:pStyle w:val="Standard"/>
              <w:spacing w:line="276" w:lineRule="auto"/>
              <w:ind w:left="737" w:hanging="624"/>
              <w:jc w:val="both"/>
              <w:rPr>
                <w:rFonts w:ascii="標楷體" w:eastAsia="標楷體" w:hAnsi="標楷體"/>
                <w:color w:val="000000"/>
                <w:sz w:val="28"/>
                <w:szCs w:val="28"/>
              </w:rPr>
            </w:pPr>
            <w:r>
              <w:rPr>
                <w:rFonts w:ascii="標楷體" w:eastAsia="標楷體" w:hAnsi="標楷體"/>
                <w:color w:val="000000"/>
                <w:sz w:val="28"/>
                <w:szCs w:val="28"/>
              </w:rPr>
              <w:t>二、審議小組就推薦案件學術研究及教學表現詳細審閱並充分討論後，進行初審。</w:t>
            </w:r>
          </w:p>
          <w:p w:rsidR="00DD2055" w:rsidRDefault="00F94D31">
            <w:pPr>
              <w:pStyle w:val="Standard"/>
              <w:spacing w:line="276" w:lineRule="auto"/>
              <w:ind w:left="737" w:hanging="624"/>
              <w:jc w:val="both"/>
              <w:rPr>
                <w:rFonts w:ascii="標楷體" w:eastAsia="標楷體" w:hAnsi="標楷體"/>
                <w:color w:val="000000"/>
                <w:sz w:val="28"/>
                <w:szCs w:val="28"/>
              </w:rPr>
            </w:pPr>
            <w:r>
              <w:rPr>
                <w:rFonts w:ascii="標楷體" w:eastAsia="標楷體" w:hAnsi="標楷體"/>
                <w:color w:val="000000"/>
                <w:sz w:val="28"/>
                <w:szCs w:val="28"/>
              </w:rPr>
              <w:t>三、初審通過者由審議小組將每一被推薦人之相關資料，分別送請學者、專家三人或四人評審後，再由審議小組進行複審，並向工作小組推薦學術獎候選人。</w:t>
            </w:r>
          </w:p>
          <w:p w:rsidR="00DD2055" w:rsidRDefault="00F94D31">
            <w:pPr>
              <w:pStyle w:val="Standard"/>
              <w:spacing w:line="276" w:lineRule="auto"/>
              <w:ind w:left="737" w:hanging="624"/>
              <w:jc w:val="both"/>
              <w:rPr>
                <w:rFonts w:ascii="標楷體" w:eastAsia="標楷體" w:hAnsi="標楷體"/>
                <w:color w:val="000000"/>
                <w:sz w:val="28"/>
                <w:szCs w:val="28"/>
              </w:rPr>
            </w:pPr>
            <w:r>
              <w:rPr>
                <w:rFonts w:ascii="標楷體" w:eastAsia="標楷體" w:hAnsi="標楷體"/>
                <w:color w:val="000000"/>
                <w:sz w:val="28"/>
                <w:szCs w:val="28"/>
              </w:rPr>
              <w:t>四、工作小組應就前款被推薦學術獎候選人各項審查結果審議後，擬具學術獎候選人名單，提請學審會全體委員會議審議。</w:t>
            </w:r>
          </w:p>
          <w:p w:rsidR="00DD2055" w:rsidRDefault="00F94D31">
            <w:pPr>
              <w:pStyle w:val="Standard"/>
              <w:spacing w:line="276" w:lineRule="auto"/>
              <w:ind w:left="737" w:hanging="624"/>
              <w:jc w:val="both"/>
              <w:rPr>
                <w:sz w:val="28"/>
                <w:szCs w:val="28"/>
              </w:rPr>
            </w:pPr>
            <w:r>
              <w:rPr>
                <w:rFonts w:ascii="標楷體" w:eastAsia="標楷體" w:hAnsi="標楷體"/>
                <w:color w:val="000000"/>
                <w:sz w:val="28"/>
                <w:szCs w:val="28"/>
              </w:rPr>
              <w:t>五、學審會全體委員會議審議結果，應有全體委員二分之一以上之出席及依下列規定之一通過，並依得票數高低遴選</w:t>
            </w:r>
            <w:r>
              <w:rPr>
                <w:rFonts w:ascii="標楷體" w:eastAsia="標楷體" w:hAnsi="標楷體"/>
                <w:color w:val="000000"/>
                <w:sz w:val="28"/>
                <w:szCs w:val="28"/>
                <w:u w:val="single"/>
              </w:rPr>
              <w:t>學術獎得獎人</w:t>
            </w:r>
            <w:r>
              <w:rPr>
                <w:rFonts w:ascii="標楷體" w:eastAsia="標楷體" w:hAnsi="標楷體"/>
                <w:color w:val="000000"/>
                <w:sz w:val="28"/>
                <w:szCs w:val="28"/>
              </w:rPr>
              <w:t>：</w:t>
            </w:r>
          </w:p>
          <w:p w:rsidR="00DD2055" w:rsidRDefault="00F94D31">
            <w:pPr>
              <w:pStyle w:val="Standard"/>
              <w:spacing w:line="276" w:lineRule="auto"/>
              <w:ind w:left="1077" w:hanging="624"/>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一</w:t>
            </w:r>
            <w:r>
              <w:rPr>
                <w:rFonts w:ascii="標楷體" w:eastAsia="標楷體" w:hAnsi="標楷體"/>
                <w:color w:val="000000"/>
                <w:sz w:val="28"/>
                <w:szCs w:val="28"/>
              </w:rPr>
              <w:t>)</w:t>
            </w:r>
            <w:r>
              <w:rPr>
                <w:rFonts w:ascii="標楷體" w:eastAsia="標楷體" w:hAnsi="標楷體"/>
                <w:color w:val="000000"/>
                <w:sz w:val="28"/>
                <w:szCs w:val="28"/>
              </w:rPr>
              <w:t>出席委員三分之二以上之</w:t>
            </w:r>
            <w:r>
              <w:rPr>
                <w:rFonts w:ascii="標楷體" w:eastAsia="標楷體" w:hAnsi="標楷體"/>
                <w:color w:val="000000"/>
                <w:sz w:val="28"/>
                <w:szCs w:val="28"/>
              </w:rPr>
              <w:lastRenderedPageBreak/>
              <w:t>同意。</w:t>
            </w:r>
          </w:p>
          <w:p w:rsidR="00DD2055" w:rsidRDefault="00F94D31">
            <w:pPr>
              <w:pStyle w:val="Standard"/>
              <w:spacing w:line="276" w:lineRule="auto"/>
              <w:ind w:left="1077" w:hanging="624"/>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二</w:t>
            </w:r>
            <w:r>
              <w:rPr>
                <w:rFonts w:ascii="標楷體" w:eastAsia="標楷體" w:hAnsi="標楷體"/>
                <w:color w:val="000000"/>
                <w:sz w:val="28"/>
                <w:szCs w:val="28"/>
              </w:rPr>
              <w:t>)</w:t>
            </w:r>
            <w:r>
              <w:rPr>
                <w:rFonts w:ascii="標楷體" w:eastAsia="標楷體" w:hAnsi="標楷體"/>
                <w:color w:val="000000"/>
                <w:sz w:val="28"/>
                <w:szCs w:val="28"/>
              </w:rPr>
              <w:t>出席委員過半數之同意，</w:t>
            </w:r>
            <w:r>
              <w:rPr>
                <w:rFonts w:ascii="標楷體" w:eastAsia="標楷體" w:hAnsi="標楷體"/>
                <w:color w:val="000000"/>
                <w:sz w:val="28"/>
                <w:szCs w:val="28"/>
              </w:rPr>
              <w:t>且被推薦學術獎候選人所屬類科委員二分之一以上之出席及經該類科出席委員三分之二以上之同意。</w:t>
            </w:r>
            <w:bookmarkStart w:id="1" w:name="_Hlk760536811"/>
            <w:bookmarkEnd w:id="1"/>
          </w:p>
          <w:p w:rsidR="00DD2055" w:rsidRDefault="00F94D31">
            <w:pPr>
              <w:pStyle w:val="Standard"/>
              <w:spacing w:line="276" w:lineRule="auto"/>
              <w:ind w:left="737" w:hanging="624"/>
              <w:jc w:val="both"/>
              <w:rPr>
                <w:rFonts w:ascii="標楷體" w:eastAsia="標楷體" w:hAnsi="標楷體"/>
                <w:color w:val="000000"/>
                <w:sz w:val="28"/>
                <w:szCs w:val="28"/>
              </w:rPr>
            </w:pPr>
            <w:r>
              <w:rPr>
                <w:rFonts w:ascii="標楷體" w:eastAsia="標楷體" w:hAnsi="標楷體"/>
                <w:color w:val="000000"/>
                <w:sz w:val="28"/>
                <w:szCs w:val="28"/>
              </w:rPr>
              <w:t>六、遴選之學術獎得獎人數未足額時，經學審會全體委員會議二分之一以上之委員出席及出席委員過半數之同意，得繼續進行投票一次；其投票結果仍未達前款所定同意數者，該部分之名額從缺。</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2055" w:rsidRDefault="00F94D31">
            <w:pPr>
              <w:pStyle w:val="Standard"/>
              <w:spacing w:line="460" w:lineRule="exact"/>
              <w:ind w:left="210" w:hanging="315"/>
              <w:jc w:val="both"/>
              <w:rPr>
                <w:rFonts w:ascii="標楷體" w:eastAsia="標楷體" w:hAnsi="標楷體"/>
                <w:sz w:val="28"/>
              </w:rPr>
            </w:pPr>
            <w:r>
              <w:rPr>
                <w:rFonts w:ascii="標楷體" w:eastAsia="標楷體" w:hAnsi="標楷體"/>
                <w:sz w:val="28"/>
              </w:rPr>
              <w:lastRenderedPageBreak/>
              <w:t xml:space="preserve">第六條　</w:t>
            </w:r>
            <w:r>
              <w:rPr>
                <w:rFonts w:ascii="標楷體" w:eastAsia="標楷體" w:hAnsi="標楷體"/>
                <w:color w:val="000000"/>
                <w:sz w:val="28"/>
              </w:rPr>
              <w:t>本部遴選學術獎得獎人之程序如下：</w:t>
            </w:r>
          </w:p>
          <w:p w:rsidR="00DD2055" w:rsidRDefault="00F94D31">
            <w:pPr>
              <w:pStyle w:val="Standard"/>
              <w:spacing w:line="276" w:lineRule="auto"/>
              <w:ind w:left="737" w:hanging="624"/>
              <w:jc w:val="both"/>
              <w:rPr>
                <w:rFonts w:ascii="標楷體" w:eastAsia="標楷體" w:hAnsi="標楷體"/>
                <w:color w:val="000000"/>
                <w:sz w:val="28"/>
                <w:szCs w:val="28"/>
              </w:rPr>
            </w:pPr>
            <w:r>
              <w:rPr>
                <w:rFonts w:ascii="標楷體" w:eastAsia="標楷體" w:hAnsi="標楷體"/>
                <w:color w:val="000000"/>
                <w:sz w:val="28"/>
                <w:szCs w:val="28"/>
              </w:rPr>
              <w:t>一、依學術領域設置人文及藝術、社會科學、數學及自然科學、生物及醫農科學、工程及應用科學五類科，分別組成審議小組，聘請聲望卓著之學者、專家九人至十一人擔任委員，並由本部學術審議會（以下簡稱學審會）之工作小組指</w:t>
            </w:r>
            <w:r>
              <w:rPr>
                <w:rFonts w:ascii="標楷體" w:eastAsia="標楷體" w:hAnsi="標楷體"/>
                <w:color w:val="000000"/>
                <w:sz w:val="28"/>
                <w:szCs w:val="28"/>
              </w:rPr>
              <w:t>定召集人。</w:t>
            </w:r>
          </w:p>
          <w:p w:rsidR="00DD2055" w:rsidRDefault="00F94D31">
            <w:pPr>
              <w:pStyle w:val="Standard"/>
              <w:spacing w:line="276" w:lineRule="auto"/>
              <w:ind w:left="737" w:hanging="624"/>
              <w:jc w:val="both"/>
              <w:rPr>
                <w:rFonts w:ascii="標楷體" w:eastAsia="標楷體" w:hAnsi="標楷體"/>
                <w:color w:val="000000"/>
                <w:sz w:val="28"/>
                <w:szCs w:val="28"/>
              </w:rPr>
            </w:pPr>
            <w:r>
              <w:rPr>
                <w:rFonts w:ascii="標楷體" w:eastAsia="標楷體" w:hAnsi="標楷體"/>
                <w:color w:val="000000"/>
                <w:sz w:val="28"/>
                <w:szCs w:val="28"/>
              </w:rPr>
              <w:t>二、審議小組就推薦案件學術研究及教學表現詳細審閱並充分討論後，進行初審。</w:t>
            </w:r>
          </w:p>
          <w:p w:rsidR="00DD2055" w:rsidRDefault="00F94D31">
            <w:pPr>
              <w:pStyle w:val="Standard"/>
              <w:spacing w:line="276" w:lineRule="auto"/>
              <w:ind w:left="737" w:hanging="624"/>
              <w:jc w:val="both"/>
              <w:rPr>
                <w:rFonts w:ascii="標楷體" w:eastAsia="標楷體" w:hAnsi="標楷體"/>
                <w:color w:val="000000"/>
                <w:sz w:val="28"/>
                <w:szCs w:val="28"/>
              </w:rPr>
            </w:pPr>
            <w:r>
              <w:rPr>
                <w:rFonts w:ascii="標楷體" w:eastAsia="標楷體" w:hAnsi="標楷體"/>
                <w:color w:val="000000"/>
                <w:sz w:val="28"/>
                <w:szCs w:val="28"/>
              </w:rPr>
              <w:t>三、初審通過者由審議小組將每一被推薦人之相關資料，分別送請學者、專家三人或四人評審後，再由審議小組進行複審，並向工作小組推薦學術獎候選人。</w:t>
            </w:r>
          </w:p>
          <w:p w:rsidR="00DD2055" w:rsidRDefault="00F94D31">
            <w:pPr>
              <w:pStyle w:val="Standard"/>
              <w:spacing w:line="276" w:lineRule="auto"/>
              <w:ind w:left="737" w:hanging="624"/>
              <w:jc w:val="both"/>
              <w:rPr>
                <w:rFonts w:ascii="標楷體" w:eastAsia="標楷體" w:hAnsi="標楷體"/>
                <w:color w:val="000000"/>
                <w:sz w:val="28"/>
                <w:szCs w:val="28"/>
              </w:rPr>
            </w:pPr>
            <w:r>
              <w:rPr>
                <w:rFonts w:ascii="標楷體" w:eastAsia="標楷體" w:hAnsi="標楷體"/>
                <w:color w:val="000000"/>
                <w:sz w:val="28"/>
                <w:szCs w:val="28"/>
              </w:rPr>
              <w:t>四、工作小組應就前款被推薦學術獎候選人各項審查結果審議後，擬具學術獎候選人名單，提請學審會全體委員會議審議。</w:t>
            </w:r>
          </w:p>
          <w:p w:rsidR="00DD2055" w:rsidRDefault="00F94D31">
            <w:pPr>
              <w:pStyle w:val="Standard"/>
              <w:spacing w:line="276" w:lineRule="auto"/>
              <w:ind w:left="737" w:hanging="624"/>
              <w:jc w:val="both"/>
              <w:rPr>
                <w:rFonts w:ascii="標楷體" w:eastAsia="標楷體" w:hAnsi="標楷體"/>
                <w:color w:val="000000"/>
                <w:sz w:val="28"/>
                <w:szCs w:val="28"/>
              </w:rPr>
            </w:pPr>
            <w:r>
              <w:rPr>
                <w:rFonts w:ascii="標楷體" w:eastAsia="標楷體" w:hAnsi="標楷體"/>
                <w:color w:val="000000"/>
                <w:sz w:val="28"/>
                <w:szCs w:val="28"/>
              </w:rPr>
              <w:t>五、學審會全體委員會議審議結果，應有全體委員二分之一以上之出席及依下列規定之一通過，並依得票數高低遴選講座主持人：</w:t>
            </w:r>
          </w:p>
          <w:p w:rsidR="00DD2055" w:rsidRDefault="00F94D31">
            <w:pPr>
              <w:pStyle w:val="Standard"/>
              <w:spacing w:line="276" w:lineRule="auto"/>
              <w:ind w:left="1077" w:hanging="624"/>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一</w:t>
            </w:r>
            <w:r>
              <w:rPr>
                <w:rFonts w:ascii="標楷體" w:eastAsia="標楷體" w:hAnsi="標楷體"/>
                <w:color w:val="000000"/>
                <w:sz w:val="28"/>
                <w:szCs w:val="28"/>
              </w:rPr>
              <w:t>)</w:t>
            </w:r>
            <w:r>
              <w:rPr>
                <w:rFonts w:ascii="標楷體" w:eastAsia="標楷體" w:hAnsi="標楷體"/>
                <w:color w:val="000000"/>
                <w:sz w:val="28"/>
                <w:szCs w:val="28"/>
              </w:rPr>
              <w:t>出席委員三分之二以上之</w:t>
            </w:r>
            <w:r>
              <w:rPr>
                <w:rFonts w:ascii="標楷體" w:eastAsia="標楷體" w:hAnsi="標楷體"/>
                <w:color w:val="000000"/>
                <w:sz w:val="28"/>
                <w:szCs w:val="28"/>
              </w:rPr>
              <w:lastRenderedPageBreak/>
              <w:t>同意。</w:t>
            </w:r>
          </w:p>
          <w:p w:rsidR="00DD2055" w:rsidRDefault="00F94D31">
            <w:pPr>
              <w:pStyle w:val="Standard"/>
              <w:spacing w:line="276" w:lineRule="auto"/>
              <w:ind w:left="1077" w:hanging="624"/>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二</w:t>
            </w:r>
            <w:r>
              <w:rPr>
                <w:rFonts w:ascii="標楷體" w:eastAsia="標楷體" w:hAnsi="標楷體"/>
                <w:color w:val="000000"/>
                <w:sz w:val="28"/>
                <w:szCs w:val="28"/>
              </w:rPr>
              <w:t>)</w:t>
            </w:r>
            <w:r>
              <w:rPr>
                <w:rFonts w:ascii="標楷體" w:eastAsia="標楷體" w:hAnsi="標楷體"/>
                <w:color w:val="000000"/>
                <w:sz w:val="28"/>
                <w:szCs w:val="28"/>
              </w:rPr>
              <w:t>出席委員過半數之同</w:t>
            </w:r>
            <w:r>
              <w:rPr>
                <w:rFonts w:ascii="標楷體" w:eastAsia="標楷體" w:hAnsi="標楷體"/>
                <w:color w:val="000000"/>
                <w:sz w:val="28"/>
                <w:szCs w:val="28"/>
              </w:rPr>
              <w:t>意，且被推薦學術獎候選人所屬類科委員二分之一以上之出席及經該類科出席委員三分之二以上之同意。</w:t>
            </w:r>
            <w:bookmarkStart w:id="2" w:name="_Hlk76053681"/>
            <w:bookmarkEnd w:id="2"/>
          </w:p>
          <w:p w:rsidR="00DD2055" w:rsidRDefault="00F94D31">
            <w:pPr>
              <w:pStyle w:val="Standard"/>
              <w:spacing w:line="276" w:lineRule="auto"/>
              <w:ind w:left="737" w:hanging="624"/>
              <w:jc w:val="both"/>
              <w:rPr>
                <w:rFonts w:ascii="標楷體" w:eastAsia="標楷體" w:hAnsi="標楷體"/>
                <w:color w:val="000000"/>
                <w:sz w:val="28"/>
                <w:szCs w:val="28"/>
              </w:rPr>
            </w:pPr>
            <w:r>
              <w:rPr>
                <w:rFonts w:ascii="標楷體" w:eastAsia="標楷體" w:hAnsi="標楷體"/>
                <w:color w:val="000000"/>
                <w:sz w:val="28"/>
                <w:szCs w:val="28"/>
              </w:rPr>
              <w:t>六、遴選之學術獎得獎人數未足額時，經學審會全體委員會議二分之一以上之委員出席及出席委員過半數之同意，得繼續進行投票一次；其投票結果仍未達前款所定同意數者，該部分之名額從缺。</w:t>
            </w:r>
          </w:p>
        </w:tc>
      </w:tr>
    </w:tbl>
    <w:p w:rsidR="00DD2055" w:rsidRDefault="00DD2055">
      <w:pPr>
        <w:pStyle w:val="Standard"/>
        <w:jc w:val="both"/>
      </w:pPr>
    </w:p>
    <w:sectPr w:rsidR="00DD2055">
      <w:pgSz w:w="11906" w:h="16838"/>
      <w:pgMar w:top="1418" w:right="1418"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D31" w:rsidRDefault="00F94D31">
      <w:r>
        <w:separator/>
      </w:r>
    </w:p>
  </w:endnote>
  <w:endnote w:type="continuationSeparator" w:id="0">
    <w:p w:rsidR="00F94D31" w:rsidRDefault="00F94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40502020204"/>
    <w:charset w:val="00"/>
    <w:family w:val="swiss"/>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D31" w:rsidRDefault="00F94D31">
      <w:r>
        <w:rPr>
          <w:color w:val="000000"/>
        </w:rPr>
        <w:separator/>
      </w:r>
    </w:p>
  </w:footnote>
  <w:footnote w:type="continuationSeparator" w:id="0">
    <w:p w:rsidR="00F94D31" w:rsidRDefault="00F94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475BA"/>
    <w:multiLevelType w:val="multilevel"/>
    <w:tmpl w:val="7E32EC96"/>
    <w:styleLink w:val="WWNum1"/>
    <w:lvl w:ilvl="0">
      <w:start w:val="1"/>
      <w:numFmt w:val="japaneseCounting"/>
      <w:lvlText w:val="%1、"/>
      <w:lvlJc w:val="left"/>
      <w:pPr>
        <w:ind w:left="830" w:hanging="480"/>
      </w:pPr>
    </w:lvl>
    <w:lvl w:ilvl="1">
      <w:start w:val="1"/>
      <w:numFmt w:val="ideographTraditional"/>
      <w:lvlText w:val="%2、"/>
      <w:lvlJc w:val="left"/>
      <w:pPr>
        <w:ind w:left="1310" w:hanging="480"/>
      </w:pPr>
    </w:lvl>
    <w:lvl w:ilvl="2">
      <w:start w:val="1"/>
      <w:numFmt w:val="lowerRoman"/>
      <w:lvlText w:val="%3."/>
      <w:lvlJc w:val="right"/>
      <w:pPr>
        <w:ind w:left="1790" w:hanging="480"/>
      </w:pPr>
    </w:lvl>
    <w:lvl w:ilvl="3">
      <w:start w:val="1"/>
      <w:numFmt w:val="decimal"/>
      <w:lvlText w:val="%4."/>
      <w:lvlJc w:val="left"/>
      <w:pPr>
        <w:ind w:left="2270" w:hanging="480"/>
      </w:pPr>
    </w:lvl>
    <w:lvl w:ilvl="4">
      <w:start w:val="1"/>
      <w:numFmt w:val="ideographTraditional"/>
      <w:lvlText w:val="%5、"/>
      <w:lvlJc w:val="left"/>
      <w:pPr>
        <w:ind w:left="2750" w:hanging="480"/>
      </w:pPr>
    </w:lvl>
    <w:lvl w:ilvl="5">
      <w:start w:val="1"/>
      <w:numFmt w:val="lowerRoman"/>
      <w:lvlText w:val="%6."/>
      <w:lvlJc w:val="right"/>
      <w:pPr>
        <w:ind w:left="3230" w:hanging="480"/>
      </w:pPr>
    </w:lvl>
    <w:lvl w:ilvl="6">
      <w:start w:val="1"/>
      <w:numFmt w:val="decimal"/>
      <w:lvlText w:val="%7."/>
      <w:lvlJc w:val="left"/>
      <w:pPr>
        <w:ind w:left="3710" w:hanging="480"/>
      </w:pPr>
    </w:lvl>
    <w:lvl w:ilvl="7">
      <w:start w:val="1"/>
      <w:numFmt w:val="ideographTraditional"/>
      <w:lvlText w:val="%8、"/>
      <w:lvlJc w:val="left"/>
      <w:pPr>
        <w:ind w:left="4190" w:hanging="480"/>
      </w:pPr>
    </w:lvl>
    <w:lvl w:ilvl="8">
      <w:start w:val="1"/>
      <w:numFmt w:val="lowerRoman"/>
      <w:lvlText w:val="%9."/>
      <w:lvlJc w:val="right"/>
      <w:pPr>
        <w:ind w:left="4670" w:hanging="480"/>
      </w:pPr>
    </w:lvl>
  </w:abstractNum>
  <w:abstractNum w:abstractNumId="1" w15:restartNumberingAfterBreak="0">
    <w:nsid w:val="2B5223C3"/>
    <w:multiLevelType w:val="multilevel"/>
    <w:tmpl w:val="57A25526"/>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54FB7844"/>
    <w:multiLevelType w:val="multilevel"/>
    <w:tmpl w:val="38627586"/>
    <w:styleLink w:val="WWNum5"/>
    <w:lvl w:ilvl="0">
      <w:start w:val="1"/>
      <w:numFmt w:val="japaneseCounting"/>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3" w15:restartNumberingAfterBreak="0">
    <w:nsid w:val="5BF05FA2"/>
    <w:multiLevelType w:val="multilevel"/>
    <w:tmpl w:val="1526C9B4"/>
    <w:styleLink w:val="WWNum4"/>
    <w:lvl w:ilvl="0">
      <w:start w:val="1"/>
      <w:numFmt w:val="japaneseCounting"/>
      <w:lvlText w:val="%1、"/>
      <w:lvlJc w:val="left"/>
      <w:pPr>
        <w:ind w:left="1080" w:hanging="480"/>
      </w:pPr>
      <w:rPr>
        <w:rFonts w:eastAsia="標楷體" w:cs="Tahoma"/>
      </w:r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4" w15:restartNumberingAfterBreak="0">
    <w:nsid w:val="6A0814B6"/>
    <w:multiLevelType w:val="multilevel"/>
    <w:tmpl w:val="7144D332"/>
    <w:styleLink w:val="WWNum3"/>
    <w:lvl w:ilvl="0">
      <w:start w:val="1"/>
      <w:numFmt w:val="japaneseCounting"/>
      <w:lvlText w:val="%1、"/>
      <w:lvlJc w:val="left"/>
      <w:pPr>
        <w:ind w:left="480" w:hanging="480"/>
      </w:pPr>
      <w:rPr>
        <w:rFonts w:eastAsia="標楷體" w:cs="Tahom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7B0D0695"/>
    <w:multiLevelType w:val="multilevel"/>
    <w:tmpl w:val="7018C972"/>
    <w:styleLink w:val="WWNum6"/>
    <w:lvl w:ilvl="0">
      <w:start w:val="2"/>
      <w:numFmt w:val="japaneseCounting"/>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6" w15:restartNumberingAfterBreak="0">
    <w:nsid w:val="7C3E2A35"/>
    <w:multiLevelType w:val="multilevel"/>
    <w:tmpl w:val="C45EDF44"/>
    <w:styleLink w:val="WWNum2"/>
    <w:lvl w:ilvl="0">
      <w:start w:val="1"/>
      <w:numFmt w:val="japaneseCounting"/>
      <w:lvlText w:val="%1、"/>
      <w:lvlJc w:val="left"/>
      <w:pPr>
        <w:ind w:left="720" w:hanging="480"/>
      </w:pPr>
      <w:rPr>
        <w:lang w:val="en-US"/>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num w:numId="1">
    <w:abstractNumId w:val="1"/>
  </w:num>
  <w:num w:numId="2">
    <w:abstractNumId w:val="0"/>
  </w:num>
  <w:num w:numId="3">
    <w:abstractNumId w:val="6"/>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DD2055"/>
    <w:rsid w:val="0041365F"/>
    <w:rsid w:val="00DD2055"/>
    <w:rsid w:val="00F94D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8EDBC2-EEF3-412B-80C8-7BB5C0F54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5">
    <w:name w:val="List Paragraph"/>
    <w:basedOn w:val="Standard"/>
    <w:pPr>
      <w:spacing w:line="340" w:lineRule="exact"/>
      <w:ind w:left="480"/>
      <w:jc w:val="both"/>
    </w:pPr>
    <w:rPr>
      <w:rFonts w:ascii="Times New Roman" w:hAnsi="Times New Roman" w:cs="Times New Roman"/>
      <w:sz w:val="22"/>
      <w:szCs w:val="24"/>
    </w:rPr>
  </w:style>
  <w:style w:type="paragraph" w:styleId="a6">
    <w:name w:val="No Spacing"/>
    <w:pPr>
      <w:jc w:val="both"/>
    </w:pPr>
    <w:rPr>
      <w:rFonts w:ascii="Times New Roman" w:hAnsi="Times New Roman" w:cs="Times New Roman"/>
      <w:sz w:val="22"/>
      <w:szCs w:val="24"/>
    </w:rPr>
  </w:style>
  <w:style w:type="paragraph" w:styleId="a7">
    <w:name w:val="Balloon Text"/>
    <w:basedOn w:val="Standard"/>
    <w:rPr>
      <w:rFonts w:ascii="Calibri Light" w:hAnsi="Calibri Light"/>
      <w:sz w:val="18"/>
      <w:szCs w:val="18"/>
    </w:rPr>
  </w:style>
  <w:style w:type="paragraph" w:styleId="a8">
    <w:name w:val="header"/>
    <w:basedOn w:val="Standard"/>
    <w:pPr>
      <w:tabs>
        <w:tab w:val="center" w:pos="4153"/>
        <w:tab w:val="right" w:pos="8306"/>
      </w:tabs>
      <w:snapToGrid w:val="0"/>
    </w:pPr>
    <w:rPr>
      <w:sz w:val="20"/>
      <w:szCs w:val="20"/>
    </w:rPr>
  </w:style>
  <w:style w:type="paragraph" w:styleId="a9">
    <w:name w:val="footer"/>
    <w:basedOn w:val="Standard"/>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character" w:customStyle="1" w:styleId="HTML0">
    <w:name w:val="HTML 預設格式 字元"/>
    <w:basedOn w:val="a0"/>
    <w:rPr>
      <w:rFonts w:ascii="細明體" w:eastAsia="細明體" w:hAnsi="細明體" w:cs="細明體"/>
      <w:kern w:val="0"/>
      <w:szCs w:val="24"/>
    </w:rPr>
  </w:style>
  <w:style w:type="character" w:customStyle="1" w:styleId="aa">
    <w:name w:val="註解方塊文字 字元"/>
    <w:basedOn w:val="a0"/>
    <w:rPr>
      <w:rFonts w:ascii="Calibri Light" w:eastAsia="新細明體" w:hAnsi="Calibri Light" w:cs="Tahoma"/>
      <w:sz w:val="18"/>
      <w:szCs w:val="18"/>
    </w:rPr>
  </w:style>
  <w:style w:type="character" w:customStyle="1" w:styleId="ab">
    <w:name w:val="頁首 字元"/>
    <w:basedOn w:val="a0"/>
    <w:rPr>
      <w:sz w:val="20"/>
      <w:szCs w:val="20"/>
    </w:rPr>
  </w:style>
  <w:style w:type="character" w:customStyle="1" w:styleId="ac">
    <w:name w:val="頁尾 字元"/>
    <w:basedOn w:val="a0"/>
    <w:rPr>
      <w:sz w:val="20"/>
      <w:szCs w:val="20"/>
    </w:rPr>
  </w:style>
  <w:style w:type="character" w:customStyle="1" w:styleId="ListLabel1">
    <w:name w:val="ListLabel 1"/>
    <w:rPr>
      <w:lang w:val="en-US"/>
    </w:rPr>
  </w:style>
  <w:style w:type="character" w:customStyle="1" w:styleId="ListLabel2">
    <w:name w:val="ListLabel 2"/>
    <w:rPr>
      <w:rFonts w:eastAsia="標楷體" w:cs="Tahoma"/>
    </w:rPr>
  </w:style>
  <w:style w:type="character" w:customStyle="1" w:styleId="ListLabel3">
    <w:name w:val="ListLabel 3"/>
    <w:rPr>
      <w:rFonts w:eastAsia="標楷體" w:cs="Tahoma"/>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904</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謝瑞芝</dc:creator>
  <cp:lastModifiedBy>Chia-Hui Lin</cp:lastModifiedBy>
  <cp:revision>2</cp:revision>
  <cp:lastPrinted>2020-07-03T17:50:00Z</cp:lastPrinted>
  <dcterms:created xsi:type="dcterms:W3CDTF">2021-11-17T07:02:00Z</dcterms:created>
  <dcterms:modified xsi:type="dcterms:W3CDTF">2021-11-17T07:02:00Z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